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96" w:rsidRDefault="00C36496" w:rsidP="001205E3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Exposición del Presidente del Banco de Venezuela  </w:t>
      </w:r>
    </w:p>
    <w:p w:rsidR="001205E3" w:rsidRDefault="00C36496" w:rsidP="001205E3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José Javier Morales</w:t>
      </w:r>
    </w:p>
    <w:p w:rsidR="00C36496" w:rsidRDefault="00C36496" w:rsidP="001205E3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C36496" w:rsidRPr="00027E98" w:rsidRDefault="00C36496" w:rsidP="001205E3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027E98">
        <w:rPr>
          <w:rFonts w:ascii="Arial" w:hAnsi="Arial" w:cs="Arial"/>
          <w:b w:val="0"/>
          <w:sz w:val="24"/>
          <w:szCs w:val="24"/>
          <w:u w:val="single"/>
        </w:rPr>
        <w:t xml:space="preserve">Transcripción </w:t>
      </w:r>
    </w:p>
    <w:p w:rsidR="001205E3" w:rsidRDefault="001205E3" w:rsidP="001205E3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1205E3" w:rsidRDefault="001205E3" w:rsidP="001205E3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Es</w:t>
      </w: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 xml:space="preserve"> una decisión del Banco Central de Venezuela tomando en cuenta que no estamos en una economía normal y mucha gente uso el crédito bancario para comprar divisas y generar producción </w:t>
      </w:r>
      <w:r w:rsidR="00C36496">
        <w:rPr>
          <w:rFonts w:ascii="Arial" w:hAnsi="Arial" w:cs="Arial"/>
          <w:b w:val="0"/>
          <w:sz w:val="24"/>
          <w:szCs w:val="24"/>
        </w:rPr>
        <w:t>y eso</w:t>
      </w:r>
      <w:r>
        <w:rPr>
          <w:rFonts w:ascii="Arial" w:hAnsi="Arial" w:cs="Arial"/>
          <w:b w:val="0"/>
          <w:sz w:val="24"/>
          <w:szCs w:val="24"/>
        </w:rPr>
        <w:t xml:space="preserve"> hizo que el dólar se disparará en niveles </w:t>
      </w:r>
      <w:r w:rsidR="00C36496">
        <w:rPr>
          <w:rFonts w:ascii="Arial" w:hAnsi="Arial" w:cs="Arial"/>
          <w:b w:val="0"/>
          <w:sz w:val="24"/>
          <w:szCs w:val="24"/>
        </w:rPr>
        <w:t xml:space="preserve">a </w:t>
      </w:r>
      <w:r>
        <w:rPr>
          <w:rFonts w:ascii="Arial" w:hAnsi="Arial" w:cs="Arial"/>
          <w:b w:val="0"/>
          <w:sz w:val="24"/>
          <w:szCs w:val="24"/>
        </w:rPr>
        <w:t>lo que lo hemos tenido</w:t>
      </w:r>
      <w:r w:rsidR="00C36496"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con una cierta estabilidad en el último mes.  </w:t>
      </w:r>
    </w:p>
    <w:p w:rsidR="001205E3" w:rsidRDefault="001205E3" w:rsidP="001205E3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1205E3" w:rsidRDefault="001205E3" w:rsidP="001205E3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El Banco Central de Venezuela acaba de sacar</w:t>
      </w:r>
      <w:r>
        <w:rPr>
          <w:rFonts w:ascii="Arial" w:hAnsi="Arial" w:cs="Arial"/>
          <w:b w:val="0"/>
          <w:sz w:val="24"/>
          <w:szCs w:val="24"/>
        </w:rPr>
        <w:t xml:space="preserve"> una resolución que r</w:t>
      </w:r>
      <w:r>
        <w:rPr>
          <w:rFonts w:ascii="Arial" w:hAnsi="Arial" w:cs="Arial"/>
          <w:b w:val="0"/>
          <w:sz w:val="24"/>
          <w:szCs w:val="24"/>
        </w:rPr>
        <w:t xml:space="preserve">egula la cartera comercial de toda la banca nacional, estamos hablando del 70 o </w:t>
      </w:r>
      <w:r>
        <w:rPr>
          <w:rFonts w:ascii="Arial" w:hAnsi="Arial" w:cs="Arial"/>
          <w:b w:val="0"/>
          <w:sz w:val="24"/>
          <w:szCs w:val="24"/>
        </w:rPr>
        <w:t xml:space="preserve"> 8</w:t>
      </w:r>
      <w:r>
        <w:rPr>
          <w:rFonts w:ascii="Arial" w:hAnsi="Arial" w:cs="Arial"/>
          <w:b w:val="0"/>
          <w:sz w:val="24"/>
          <w:szCs w:val="24"/>
        </w:rPr>
        <w:t>0% de toda la banca, lo que dice esta</w:t>
      </w:r>
      <w:r>
        <w:rPr>
          <w:rFonts w:ascii="Arial" w:hAnsi="Arial" w:cs="Arial"/>
          <w:b w:val="0"/>
          <w:sz w:val="24"/>
          <w:szCs w:val="24"/>
        </w:rPr>
        <w:t xml:space="preserve"> resolución, con la unidad de valor nueva que creada por el BCV</w:t>
      </w:r>
      <w:r>
        <w:rPr>
          <w:rFonts w:ascii="Arial" w:hAnsi="Arial" w:cs="Arial"/>
          <w:b w:val="0"/>
          <w:sz w:val="24"/>
          <w:szCs w:val="24"/>
        </w:rPr>
        <w:t xml:space="preserve"> que está</w:t>
      </w:r>
      <w:r>
        <w:rPr>
          <w:rFonts w:ascii="Arial" w:hAnsi="Arial" w:cs="Arial"/>
          <w:b w:val="0"/>
          <w:sz w:val="24"/>
          <w:szCs w:val="24"/>
        </w:rPr>
        <w:t xml:space="preserve"> anclada al ti</w:t>
      </w:r>
      <w:r>
        <w:rPr>
          <w:rFonts w:ascii="Arial" w:hAnsi="Arial" w:cs="Arial"/>
          <w:b w:val="0"/>
          <w:sz w:val="24"/>
          <w:szCs w:val="24"/>
        </w:rPr>
        <w:t xml:space="preserve">po de cambio oficial del día. </w:t>
      </w:r>
      <w:r w:rsidR="00C36496">
        <w:rPr>
          <w:rFonts w:ascii="Arial" w:hAnsi="Arial" w:cs="Arial"/>
          <w:b w:val="0"/>
          <w:sz w:val="24"/>
          <w:szCs w:val="24"/>
        </w:rPr>
        <w:t>Es que si</w:t>
      </w:r>
      <w:r>
        <w:rPr>
          <w:rFonts w:ascii="Arial" w:hAnsi="Arial" w:cs="Arial"/>
          <w:b w:val="0"/>
          <w:sz w:val="24"/>
          <w:szCs w:val="24"/>
        </w:rPr>
        <w:t xml:space="preserve">  un banco me dio</w:t>
      </w:r>
      <w:r>
        <w:rPr>
          <w:rFonts w:ascii="Arial" w:hAnsi="Arial" w:cs="Arial"/>
          <w:b w:val="0"/>
          <w:sz w:val="24"/>
          <w:szCs w:val="24"/>
        </w:rPr>
        <w:t xml:space="preserve"> un crédito equivalente 100 dólares, al tipo de cambio de</w:t>
      </w:r>
      <w:r>
        <w:rPr>
          <w:rFonts w:ascii="Arial" w:hAnsi="Arial" w:cs="Arial"/>
          <w:b w:val="0"/>
          <w:sz w:val="24"/>
          <w:szCs w:val="24"/>
        </w:rPr>
        <w:t>l día, cuando me</w:t>
      </w:r>
      <w:r>
        <w:rPr>
          <w:rFonts w:ascii="Arial" w:hAnsi="Arial" w:cs="Arial"/>
          <w:b w:val="0"/>
          <w:sz w:val="24"/>
          <w:szCs w:val="24"/>
        </w:rPr>
        <w:t xml:space="preserve"> toque pagarlo se deberá pagar los mismos 100 dólares a como este el tipo de cambio para el momento de cancelar el crédito.</w:t>
      </w:r>
    </w:p>
    <w:p w:rsidR="001205E3" w:rsidRDefault="001205E3" w:rsidP="001205E3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1205E3" w:rsidRDefault="001205E3" w:rsidP="001205E3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Con esta medida lo que se logra es que los empresarios utilicen el dinero realmente para invertir y no para comprar divisas en el mercado especulativo, porque no tendría sentido comprar divisas a un precios para pagarlos más caros.</w:t>
      </w:r>
    </w:p>
    <w:p w:rsidR="001205E3" w:rsidRDefault="001205E3" w:rsidP="001205E3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1205E3" w:rsidRDefault="00C36496" w:rsidP="001205E3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</w:t>
      </w:r>
      <w:r w:rsidR="001205E3">
        <w:rPr>
          <w:rFonts w:ascii="Arial" w:hAnsi="Arial" w:cs="Arial"/>
          <w:b w:val="0"/>
          <w:sz w:val="24"/>
          <w:szCs w:val="24"/>
        </w:rPr>
        <w:t xml:space="preserve">i la medida logra resultados positivos en el corto plazo es posible que se logren modificaciones en la política de encaje que limita severamente al intermediación bancaria y se podrá inyectar más liquidez al tema productivo y a las empresas del sistema productivo Nacional.   </w:t>
      </w:r>
    </w:p>
    <w:p w:rsidR="00200286" w:rsidRPr="001205E3" w:rsidRDefault="00027E98">
      <w:pPr>
        <w:rPr>
          <w:lang w:val="es-ES"/>
        </w:rPr>
      </w:pPr>
    </w:p>
    <w:sectPr w:rsidR="00200286" w:rsidRPr="001205E3" w:rsidSect="00DA5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E3"/>
    <w:rsid w:val="00027E98"/>
    <w:rsid w:val="001205E3"/>
    <w:rsid w:val="002B7039"/>
    <w:rsid w:val="00467BBE"/>
    <w:rsid w:val="00C3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20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05E3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20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05E3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Carreño</dc:creator>
  <cp:lastModifiedBy>Gilberto Carreño</cp:lastModifiedBy>
  <cp:revision>1</cp:revision>
  <dcterms:created xsi:type="dcterms:W3CDTF">2019-10-26T19:15:00Z</dcterms:created>
  <dcterms:modified xsi:type="dcterms:W3CDTF">2019-10-26T20:04:00Z</dcterms:modified>
</cp:coreProperties>
</file>